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4D" w:rsidRPr="006B414D" w:rsidRDefault="006B414D" w:rsidP="006B414D">
      <w:pPr>
        <w:widowControl/>
        <w:pBdr>
          <w:bottom w:val="dotted" w:sz="6" w:space="4" w:color="C34E00"/>
        </w:pBdr>
        <w:spacing w:after="150" w:line="300" w:lineRule="atLeast"/>
        <w:outlineLvl w:val="1"/>
        <w:rPr>
          <w:rFonts w:ascii="Arial" w:eastAsia="新細明體" w:hAnsi="Arial" w:cs="Arial"/>
          <w:b/>
          <w:bCs/>
          <w:color w:val="C34E00"/>
          <w:kern w:val="0"/>
          <w:szCs w:val="24"/>
        </w:rPr>
      </w:pPr>
      <w:bookmarkStart w:id="0" w:name="_GoBack"/>
      <w:r w:rsidRPr="006B414D">
        <w:rPr>
          <w:rFonts w:ascii="Arial" w:eastAsia="新細明體" w:hAnsi="Arial" w:cs="Arial"/>
          <w:b/>
          <w:bCs/>
          <w:color w:val="C34E00"/>
          <w:kern w:val="0"/>
          <w:szCs w:val="24"/>
        </w:rPr>
        <w:t>就學貸款繳件信封</w:t>
      </w:r>
      <w:r w:rsidRPr="006B414D">
        <w:rPr>
          <w:rFonts w:ascii="Arial" w:eastAsia="新細明體" w:hAnsi="Arial" w:cs="Arial"/>
          <w:b/>
          <w:bCs/>
          <w:color w:val="C34E00"/>
          <w:kern w:val="0"/>
          <w:szCs w:val="24"/>
        </w:rPr>
        <w:t>(</w:t>
      </w:r>
      <w:r w:rsidRPr="006B414D">
        <w:rPr>
          <w:rFonts w:ascii="Arial" w:eastAsia="新細明體" w:hAnsi="Arial" w:cs="Arial"/>
          <w:b/>
          <w:bCs/>
          <w:color w:val="C34E00"/>
          <w:kern w:val="0"/>
          <w:szCs w:val="24"/>
        </w:rPr>
        <w:t>掛號寄回生輔組</w:t>
      </w:r>
      <w:r w:rsidRPr="006B414D">
        <w:rPr>
          <w:rFonts w:ascii="Arial" w:eastAsia="新細明體" w:hAnsi="Arial" w:cs="Arial"/>
          <w:b/>
          <w:bCs/>
          <w:color w:val="C34E00"/>
          <w:kern w:val="0"/>
          <w:szCs w:val="24"/>
        </w:rPr>
        <w:t>)</w:t>
      </w:r>
    </w:p>
    <w:tbl>
      <w:tblPr>
        <w:tblW w:w="0" w:type="auto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6B414D" w:rsidRPr="006B414D" w:rsidTr="006B414D">
        <w:trPr>
          <w:tblCellSpacing w:w="15" w:type="dxa"/>
        </w:trPr>
        <w:tc>
          <w:tcPr>
            <w:tcW w:w="0" w:type="auto"/>
            <w:tcBorders>
              <w:left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bookmarkEnd w:id="0"/>
          <w:p w:rsidR="006B414D" w:rsidRPr="006B414D" w:rsidRDefault="006B414D" w:rsidP="006B414D">
            <w:pPr>
              <w:widowControl/>
              <w:spacing w:line="300" w:lineRule="atLeast"/>
              <w:ind w:left="150" w:right="150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學生就學貸款注意事項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1. 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符合減免資格者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身心障礙學生、身心障礙人士子女、低收入戶、中低收入戶、軍公教遺族、現役軍人子女、原住民及特殊境遇家庭子女孫子女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)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，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    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務必先完成各項減免後，以餘額辦理就學貸款。（減免疑問請洽生輔組減免承辦人分機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1243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）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2. 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若家長有公教人員子女教育補助費，需先扣除該筆金額，餘額方可辦理就學貸款。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15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 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15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申辦手續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: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1. 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長榮大學網站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在校學生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「</w:t>
            </w:r>
            <w:hyperlink r:id="rId5" w:history="1">
              <w:r w:rsidRPr="006B414D">
                <w:rPr>
                  <w:rFonts w:ascii="Arial" w:eastAsia="新細明體" w:hAnsi="Arial" w:cs="Arial"/>
                  <w:color w:val="003869"/>
                  <w:kern w:val="0"/>
                  <w:sz w:val="20"/>
                  <w:szCs w:val="20"/>
                </w:rPr>
                <w:t>學雜費專區</w:t>
              </w:r>
            </w:hyperlink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」列印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</w:rPr>
              <w:t>(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</w:rPr>
              <w:t>就貸專用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</w:rPr>
              <w:t>)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</w:rPr>
              <w:t>學雜費繳費單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。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 (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繳費單金額不同需換單者，請洽出納組分機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1356)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2. 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長榮大學網站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在校學生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hyperlink r:id="rId6" w:history="1">
              <w:r w:rsidRPr="006B414D">
                <w:rPr>
                  <w:rFonts w:ascii="Arial" w:eastAsia="新細明體" w:hAnsi="Arial" w:cs="Arial"/>
                  <w:color w:val="003869"/>
                  <w:kern w:val="0"/>
                  <w:sz w:val="20"/>
                  <w:szCs w:val="20"/>
                </w:rPr>
                <w:t>學生系統</w:t>
              </w:r>
            </w:hyperlink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(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學號及密碼登入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)→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申請作業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就貸申請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填寫「長榮大學就學貸款申請表」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確定資料及金額無誤後送出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列印</w:t>
            </w:r>
            <w:r w:rsidRPr="006B414D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長榮大學就學貸款申請表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3.  </w:t>
            </w:r>
            <w:hyperlink r:id="rId7" w:history="1">
              <w:r w:rsidRPr="006B414D">
                <w:rPr>
                  <w:rFonts w:ascii="Arial" w:eastAsia="新細明體" w:hAnsi="Arial" w:cs="Arial"/>
                  <w:color w:val="003869"/>
                  <w:kern w:val="0"/>
                  <w:sz w:val="20"/>
                  <w:szCs w:val="20"/>
                </w:rPr>
                <w:t>臺灣銀行就學貸款入口網</w:t>
              </w:r>
            </w:hyperlink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註冊並登入會員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填寫</w:t>
            </w:r>
            <w:proofErr w:type="gramStart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臺</w:t>
            </w:r>
            <w:proofErr w:type="gramEnd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銀就貸申請書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確定資料及金額無誤後送出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列印</w:t>
            </w:r>
            <w:r w:rsidRPr="006B414D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臺灣銀行就學貸款申請撥款通知書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（一式三聯）。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4. 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攜帶上述三份文件及身分證、印章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(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首次辦理需附監護保證人三個月內全戶戶籍謄本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)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，親至臺灣銀行辦理</w:t>
            </w:r>
            <w:r w:rsidRPr="006B414D">
              <w:rPr>
                <w:rFonts w:ascii="Arial" w:eastAsia="新細明體" w:hAnsi="Arial" w:cs="Arial"/>
                <w:color w:val="FF0000"/>
                <w:kern w:val="0"/>
                <w:szCs w:val="24"/>
                <w:u w:val="single"/>
              </w:rPr>
              <w:t>對保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5.  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>每學期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開學前一</w:t>
            </w:r>
            <w:proofErr w:type="gramStart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週</w:t>
            </w:r>
            <w:proofErr w:type="gramEnd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以公告日期郵戳為憑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→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>掛號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寄件二張就貸資料回生活輔導組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 (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就貸金額必須相同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)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6.  </w:t>
            </w:r>
            <w:proofErr w:type="gramStart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若申貸</w:t>
            </w:r>
            <w:proofErr w:type="gramEnd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生活費，請加附期限內合格之中、低收入戶證明影</w:t>
            </w:r>
            <w:proofErr w:type="gramStart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本予生輔</w:t>
            </w:r>
            <w:proofErr w:type="gramEnd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組。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7.  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「就貸專用學雜費繳費單」第二聯若有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>不可貸金額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，請務必於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>註冊日前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至郵局或第一銀行繳納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/ </w:t>
            </w:r>
            <w:r w:rsidRPr="006B414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>收據自存免寄回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。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 (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若無不可貸金額，即金額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$0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時不必繳交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)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 xml:space="preserve">8.  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學生就學貸款需繳利息及需償還者，請務必</w:t>
            </w:r>
            <w:proofErr w:type="gramStart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洽</w:t>
            </w:r>
            <w:proofErr w:type="gramEnd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臺灣銀行依規定辦理以免影響就貸申辦及日後各項信用資格。</w:t>
            </w:r>
          </w:p>
          <w:p w:rsidR="006B414D" w:rsidRPr="006B414D" w:rsidRDefault="006B414D" w:rsidP="006B414D">
            <w:pPr>
              <w:widowControl/>
              <w:spacing w:line="300" w:lineRule="atLeast"/>
              <w:ind w:left="510" w:right="150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9.  </w:t>
            </w:r>
            <w:proofErr w:type="gramStart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若申貸</w:t>
            </w:r>
            <w:proofErr w:type="gramEnd"/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生活費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，請加附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  <w:u w:val="single"/>
              </w:rPr>
              <w:t>期限內之中、低收入戶證明影本</w:t>
            </w:r>
            <w:r w:rsidRPr="006B414D"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  <w:t>，就學貸款的生活費只有中、低收入戶可貸。</w:t>
            </w:r>
          </w:p>
        </w:tc>
      </w:tr>
    </w:tbl>
    <w:p w:rsidR="00412136" w:rsidRPr="006B414D" w:rsidRDefault="00412136" w:rsidP="006B414D"/>
    <w:sectPr w:rsidR="00412136" w:rsidRPr="006B41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D7"/>
    <w:rsid w:val="00167FE1"/>
    <w:rsid w:val="003F24D7"/>
    <w:rsid w:val="00412136"/>
    <w:rsid w:val="00456528"/>
    <w:rsid w:val="00601A06"/>
    <w:rsid w:val="006B414D"/>
    <w:rsid w:val="00B1129B"/>
    <w:rsid w:val="00B73727"/>
    <w:rsid w:val="00B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F24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F24D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3F24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F24D7"/>
    <w:rPr>
      <w:b/>
      <w:bCs/>
    </w:rPr>
  </w:style>
  <w:style w:type="character" w:customStyle="1" w:styleId="apple-converted-space">
    <w:name w:val="apple-converted-space"/>
    <w:basedOn w:val="a0"/>
    <w:rsid w:val="003F24D7"/>
  </w:style>
  <w:style w:type="character" w:styleId="a4">
    <w:name w:val="Hyperlink"/>
    <w:basedOn w:val="a0"/>
    <w:uiPriority w:val="99"/>
    <w:semiHidden/>
    <w:unhideWhenUsed/>
    <w:rsid w:val="003F2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F24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F24D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3F24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F24D7"/>
    <w:rPr>
      <w:b/>
      <w:bCs/>
    </w:rPr>
  </w:style>
  <w:style w:type="character" w:customStyle="1" w:styleId="apple-converted-space">
    <w:name w:val="apple-converted-space"/>
    <w:basedOn w:val="a0"/>
    <w:rsid w:val="003F24D7"/>
  </w:style>
  <w:style w:type="character" w:styleId="a4">
    <w:name w:val="Hyperlink"/>
    <w:basedOn w:val="a0"/>
    <w:uiPriority w:val="99"/>
    <w:semiHidden/>
    <w:unhideWhenUsed/>
    <w:rsid w:val="003F2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an.bot.com.tw/newsloan/login/SLoanLogin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rtal.cjcu.edu.tw/Student/Home" TargetMode="External"/><Relationship Id="rId5" Type="http://schemas.openxmlformats.org/officeDocument/2006/relationships/hyperlink" Target="http://www.cjcu.edu.tw/cjcunews/upload/20150210093542f_downloa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2018-01-16T03:55:00Z</dcterms:created>
  <dcterms:modified xsi:type="dcterms:W3CDTF">2018-01-16T03:55:00Z</dcterms:modified>
</cp:coreProperties>
</file>