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B6E" w:rsidRPr="00FB2B6E" w:rsidRDefault="00FB2B6E" w:rsidP="00FB2B6E">
      <w:pPr>
        <w:widowControl/>
        <w:spacing w:before="100" w:beforeAutospacing="1" w:after="100" w:afterAutospacing="1"/>
        <w:outlineLvl w:val="0"/>
        <w:rPr>
          <w:rFonts w:ascii="新細明體" w:eastAsia="新細明體" w:hAnsi="新細明體" w:cs="新細明體"/>
          <w:b/>
          <w:bCs/>
          <w:kern w:val="36"/>
          <w:sz w:val="48"/>
          <w:szCs w:val="48"/>
        </w:rPr>
      </w:pPr>
      <w:bookmarkStart w:id="0" w:name="_GoBack"/>
      <w:r w:rsidRPr="00FB2B6E">
        <w:rPr>
          <w:rFonts w:ascii="新細明體" w:eastAsia="新細明體" w:hAnsi="新細明體" w:cs="新細明體" w:hint="eastAsia"/>
          <w:b/>
          <w:bCs/>
          <w:kern w:val="36"/>
          <w:sz w:val="48"/>
          <w:szCs w:val="48"/>
        </w:rPr>
        <w:t>莊萬壽：在庶民觀點裡 百年前的台灣文化協會是改革運動嗎?</w:t>
      </w:r>
    </w:p>
    <w:bookmarkEnd w:id="0"/>
    <w:p w:rsidR="00FB2B6E" w:rsidRPr="00FB2B6E" w:rsidRDefault="00FB2B6E" w:rsidP="00FB2B6E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文／莊萬壽（台灣師範大學退休教授） 2016-05-08 12:25</w:t>
      </w:r>
    </w:p>
    <w:p w:rsidR="00FB2B6E" w:rsidRPr="00FB2B6E" w:rsidRDefault="00FB2B6E" w:rsidP="00FB2B6E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5486400" cy="1869916"/>
            <wp:effectExtent l="0" t="0" r="0" b="0"/>
            <wp:docPr id="5" name="圖片 5" descr="莊萬壽：在庶民觀點裡 百年前的台灣文化協會是改革運動嗎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莊萬壽：在庶民觀點裡 百年前的台灣文化協會是改革運動嗎?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29" cy="18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B6E" w:rsidRPr="00FB2B6E" w:rsidRDefault="00FB2B6E" w:rsidP="00FB2B6E">
      <w:pPr>
        <w:widowControl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台灣文化協會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會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則。(賴和紀念館/提供)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b/>
          <w:bCs/>
          <w:color w:val="B22222"/>
          <w:kern w:val="0"/>
          <w:szCs w:val="24"/>
        </w:rPr>
        <w:t>【本文取材自民報文化雜誌2016年／第12期】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b/>
          <w:bCs/>
          <w:color w:val="B22222"/>
          <w:kern w:val="0"/>
          <w:szCs w:val="24"/>
        </w:rPr>
        <w:t>一、台灣反殖民反剝削運動的落後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1921年成立的「台灣文化協會」是台灣士紳、醫師、記者、商人的知識者所主導、參與的，而事實背後他們大多是大地主、舊士紳、資本家。軟弱無知而沒有台灣意識的台灣人民，只有由溫和的名人、改良主義者到第一線在日本總督府腳下去磨蹭，要求到的只是能設「讀報社」、演講會，教台灣人識字寫字、通用知識；至於要求設置一個地方性毫無制約統治政府功能的「議會」，連門都沒有！我直言：「文協」的成立，其中一個動機是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以弱攻的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姿態來堅守世家的家業。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被統治者，沒有政治權、人權，而一般農工大眾感受最深是被剝削、經濟生活的痛苦。日治時代台灣人至少遭遇兩種壓迫：一是日本殖民者，二是日台地主、資本家。反殖民反剝削運動，台灣顯得落後。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歐戰間，1917年俄國無產階級推翻了沙皇，1918年美國總統提民族自決的原則，1919年3月1日，有骨氣的朝鮮人有兩百多萬人出來遊行，流血抗爭，宣佈《獨立宣言》，迫使日本對朝鮮做出讓步，而又激起中國學生反政府的「五四運動」。我不做跳躍時空的批判，當時全球捲起維護農工的社會主義的大浪潮，是歷史的必然。台灣文協成立同時，中共也成立；次年日共、1928台共也成立了，他們一樣都出生在四面虎狼的草原上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b/>
          <w:bCs/>
          <w:color w:val="B22222"/>
          <w:kern w:val="0"/>
          <w:szCs w:val="24"/>
        </w:rPr>
        <w:t>二、「文協」轉向是歷史的必然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lastRenderedPageBreak/>
        <w:t>其間，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台灣內部亦在蛻變。1923《台灣民報》創刊，日本御用紳士辜顯榮、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林熊徵則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成立「公益會」對抗文協，1924繼而召開「有力者大會」，文協則以「無力者大會」應之。1925年由一個因議會請願活動引起的「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治警事件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」，讓關幾十日的詩人贏得千秋盛名。另最重要的是二林蔗農被台、日人糖廠的剝削，李應章組「蔗農組合」抗爭，被捕多達四百餘人。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農民運動崛起，意味著文協的文化啟蒙必須轉變為群眾抗爭的新方向。1927年1月左派王敏川、連溫卿等取得文協領導權，原文協發起者林獻堂、蔣渭水等退會，另組「民眾黨」，這也是歷史的必然。值得一提的是，1927年11月5日二林佃農民約百人走到鹿港，包圍辜顯榮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宅至深夜——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這若發生在戰後的戒嚴時代，結果如何恐怕難以想像。此後，台灣的社會運動，由士紳擴大到勞動者，農工左派被捕，是台灣民運的流向；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一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直到戰後228、甚至1979年高雄事件、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1980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年代群眾運動，爭民主爭公義都必須付出代價。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1930年林獻堂又脫離了民眾黨，與楊肇嘉等另組「台灣地方自治聯盟」，退守到最虛弱的位置。1931年總督府全面解散文協、民眾黨、共產黨等所有組織，但讓「自治聯盟」苟延殘喘到1937年支那事變。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b/>
          <w:bCs/>
          <w:color w:val="B22222"/>
          <w:kern w:val="0"/>
          <w:szCs w:val="24"/>
        </w:rPr>
        <w:t>三、勞動者社會運動，沒有留下史料與圖像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百年台灣社會運動史的主體，雖然是群眾，但歷史記錄都是屬於上層社會人物所有；新聞、雜誌、日記、信函，大多只與名人相關。我說1927年後的文協是逐漸回歸到弱勢的大眾，但民間留下了什麼史料與圖像？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阮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兜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厝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邊、我同學之父，我父同行木匠的陳義農，從日治時參加台共被關，到白色恐怖捲入鹿窟案被殺，一生艱苦，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卻甘為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理想犧牲，偉大小人物，沒有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一滴血跡傳後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，我心愧疚。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老父看不起林獻堂，認為林退縮了，成為日本殖民地的花瓶；林是大地主，要照顧家產，真可憐的。迎來了祖國，自討沒趣。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inline distT="0" distB="0" distL="0" distR="0">
            <wp:extent cx="5413248" cy="3499121"/>
            <wp:effectExtent l="0" t="0" r="0" b="6350"/>
            <wp:docPr id="4" name="圖片 4" descr="http://image.peoplenews.tw/collection/146261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peoplenews.tw/collection/14626139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268" cy="350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6E">
        <w:rPr>
          <w:rFonts w:ascii="新細明體" w:eastAsia="新細明體" w:hAnsi="新細明體" w:cs="新細明體" w:hint="eastAsia"/>
          <w:kern w:val="0"/>
          <w:szCs w:val="24"/>
        </w:rPr>
        <w:t>老父莊泉（1892-1973）是鹿港能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看懂史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、漢、左傳的木匠師，他何時參與文協，我不知情。晚年我有訪談和錄音一些家族、文協、辜家…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…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舊事，但我剛任師大講師，苦心要闖出學術，真後悔未及留下一個工人對日治時代有系統的見聞錄，今日所見的都是士紳的視野。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b/>
          <w:bCs/>
          <w:color w:val="B22222"/>
          <w:kern w:val="0"/>
          <w:sz w:val="21"/>
          <w:szCs w:val="21"/>
        </w:rPr>
        <w:t>(左圖: 文化協會言講會宣傳品。賴和紀念館提供)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我1939年出世鹿港街尾，老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厝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後庭，隔巷（今拓為中山南路）對面就是文開書院的後殿。先祖言，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文祠每有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祭祀，都到我家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借舊大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碗盤〈藏長榮大學〉，再回送桑葚。文祠是許多儒者的私塾（父幼時亦在此讀書）和士紳的聚會所。文協演講會便是在文祠前的草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埔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（我幼時在此遊戲）舉行。當年「放送頭」一放，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阮厝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就聽得到，不必聽到打鑼（有人沿街敲鑼喝叫集會）。我想在前期文協（1921-27），老父已是忠誠的聽眾。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b/>
          <w:bCs/>
          <w:color w:val="B22222"/>
          <w:kern w:val="0"/>
          <w:szCs w:val="24"/>
        </w:rPr>
        <w:t>四、尋找新文協活動與人物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我找到前期（舊）文協會員名單，鹿港人只有五人：鄭汝南、施學賢、施性瑟、莊垂勝、葉榮鐘，不是世家就是巨商。困難的是要找後期（1927-31）的會員，這一點我沒有把握。老父與文祠演講場有地利之便是一個尋找的方向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父母曾說，約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1930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年代初，我家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後庭曾租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給跑彰化的自動車會社做停車場，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大姊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還當過車掌；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文祠又近於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火車頭（鹿港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驛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），聽眾交通方便。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lastRenderedPageBreak/>
        <w:t>左派新文協活動，以全台群眾為舞台，並積極在各地推動演說會。僅1927年就辦了271場，聽眾達25萬人。而因言論激烈，被警察查禁的活動多達320場（前期文協1923-26四年才辦了798場）。但不知在鹿港有幾場？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老父應可能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參與文祠演講會的案內。老父說：日警允許演說，但也會在演說中途，因對一兩言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不滿，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吹口哨制止和驅散。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我與老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父年差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近半百，七歲離開鹿港。若不是我好問好查，故鄉事幾乎斷線。老父少年時結拜兄弟八人，都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厝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邊工夫人（做木作工夫的人），未聞涉及文協。世交有往來而我亦熟知的也都是工藝者。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刻花有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李松林（及其伯叔），畫師郭新林是我二姊夫之父。老父過身，尚不能預知李、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郭後來皆名聞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天下。但兩人似不談政治。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早年刻花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、彩繪工作機會少，生活甚拮据。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另一位是開鹿港第一家印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舖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的蔡葛，他是我所知老父在鹿港最好的朋友。街尾的空屋、被軍隊強佔以及賣掉都是他幫忙。晚年遷到台北，我才與他相識，他是文協讀書會的第一號人物。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老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父偶談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他認識的人，但應無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交陪的名人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。謝春木（南光）、劉啟光（侯朝宗）二人都是農民運動的要角，在前期文協本就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活躍，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他們都跑到中國去了，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謝死未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歸。王敏川是新文協領袖，日本人對左派很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兇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，關他六年，謝、王是彰化人，近鹿港。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老父極可能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是請他們來讀書會講演的。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b/>
          <w:bCs/>
          <w:color w:val="B22222"/>
          <w:kern w:val="0"/>
          <w:szCs w:val="24"/>
        </w:rPr>
        <w:t>五、楊貴與鹿港讀書會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（新）文協在鹿港的讀書會，不得不提楊貴，老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父講伊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是大目降（新化）人，來鹿港參加讀書會。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楊貴（又稱楊逵，但依我父說是「楊貴」，1906-85）1927由日返台，參加新文協與農民組合，1928年任文協中央委員，至1929年多在彰化。1928年組鹿港讀書會，這個會我推算應延續到1931年後。老父說：「讀書會會長是【尾葛】（蔡葛），我是總務，三、四十人，會址在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魚脯街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」。我查地點當時在五福大街北端的順興街（北邊靠海，清代賣魚脯）。蔡印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舖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在其南的福興街（網路可查其照片）。五福大街一街有五段五名（今中山路）是拓寬前的「不見天」，老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父住街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尾（不屬大街），要去魚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脯街恐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要走半小時。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他們按時上課。講師有楊貴，也可能有其他留日（如上述謝春木）的講師，而會員也自己討論。1929年楊貴、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葉陶結婚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，老父總務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募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會員款，買一套西裝（背廣）親送作為賀禮（老父一生從未買過西裝）。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楊貴生長女「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秀俄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」（1930），長子「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資崩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」（1932）。老父的五男則取名「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赤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業」（1935），老父到山區買木材，寫信署名「莊赤業」，警察大人就來找麻煩。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lastRenderedPageBreak/>
        <w:t>我台北小學時，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老父就提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他朋友楊貴被抓的事。1953年我19歲的堂兄亦涉鹿窟案入獄，老父千萬交代：「話不可亂講，楊貴還在關！」到了楊出獄，也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不敢相找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，父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囑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我：「你將來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可以找伊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。」父過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身後，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我請也是文協會員的姻親施學禮聯絡，1976年2月22日帶女兒上東海花園拜訪楊貴。他很興奮，大聲講：「你老父是我的同志！」（見相片）。影印一文給我 ，我尙待寫〈我所知的楊逵〉。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br/>
      </w: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4460865" cy="5014430"/>
            <wp:effectExtent l="0" t="0" r="0" b="0"/>
            <wp:docPr id="3" name="圖片 3" descr="http://image.peoplenews.tw/collection/146261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peoplenews.tw/collection/14626140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971" cy="501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6E">
        <w:rPr>
          <w:rFonts w:ascii="新細明體" w:eastAsia="新細明體" w:hAnsi="新細明體" w:cs="新細明體" w:hint="eastAsia"/>
          <w:kern w:val="0"/>
          <w:szCs w:val="24"/>
        </w:rPr>
        <w:br/>
      </w:r>
      <w:r w:rsidRPr="00FB2B6E">
        <w:rPr>
          <w:rFonts w:ascii="新細明體" w:eastAsia="新細明體" w:hAnsi="新細明體" w:cs="新細明體" w:hint="eastAsia"/>
          <w:b/>
          <w:bCs/>
          <w:color w:val="B22222"/>
          <w:kern w:val="0"/>
          <w:sz w:val="21"/>
          <w:szCs w:val="21"/>
        </w:rPr>
        <w:t>莊萬壽（左起）、楊貴、施學禮1976.2.22於東海花園合影</w:t>
      </w:r>
      <w:r w:rsidRPr="00FB2B6E">
        <w:rPr>
          <w:rFonts w:ascii="新細明體" w:eastAsia="新細明體" w:hAnsi="新細明體" w:cs="新細明體" w:hint="eastAsia"/>
          <w:kern w:val="0"/>
          <w:szCs w:val="24"/>
        </w:rPr>
        <w:br/>
      </w:r>
      <w:r w:rsidRPr="00FB2B6E">
        <w:rPr>
          <w:rFonts w:ascii="新細明體" w:eastAsia="新細明體" w:hAnsi="新細明體" w:cs="新細明體" w:hint="eastAsia"/>
          <w:b/>
          <w:bCs/>
          <w:color w:val="B22222"/>
          <w:kern w:val="0"/>
          <w:szCs w:val="24"/>
        </w:rPr>
        <w:t>六、讀書會的讀本</w:t>
      </w:r>
      <w:r w:rsidRPr="00FB2B6E">
        <w:rPr>
          <w:rFonts w:ascii="新細明體" w:eastAsia="新細明體" w:hAnsi="新細明體" w:cs="新細明體" w:hint="eastAsia"/>
          <w:kern w:val="0"/>
          <w:szCs w:val="24"/>
        </w:rPr>
        <w:br/>
        <w:t>老父勇敢帶到台北，有少些禁書，其中三本是與讀書會、楊貴有關。</w:t>
      </w:r>
      <w:r w:rsidRPr="00FB2B6E">
        <w:rPr>
          <w:rFonts w:ascii="新細明體" w:eastAsia="新細明體" w:hAnsi="新細明體" w:cs="新細明體" w:hint="eastAsia"/>
          <w:kern w:val="0"/>
          <w:szCs w:val="24"/>
        </w:rPr>
        <w:br/>
        <w:t>1.《進化論講話》存下冊，日本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丘淺次郎著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（見相片）[</w:t>
      </w:r>
      <w:proofErr w:type="spell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nop</w:t>
      </w:r>
      <w:proofErr w:type="spellEnd"/>
      <w:r w:rsidRPr="00FB2B6E">
        <w:rPr>
          <w:rFonts w:ascii="新細明體" w:eastAsia="新細明體" w:hAnsi="新細明體" w:cs="新細明體" w:hint="eastAsia"/>
          <w:kern w:val="0"/>
          <w:szCs w:val="24"/>
        </w:rPr>
        <w:t>]</w:t>
      </w:r>
      <w:r w:rsidRPr="00FB2B6E">
        <w:rPr>
          <w:rFonts w:ascii="新細明體" w:eastAsia="新細明體" w:hAnsi="新細明體" w:cs="新細明體" w:hint="eastAsia"/>
          <w:kern w:val="0"/>
          <w:szCs w:val="24"/>
        </w:rPr>
        <w:br/>
        <w:t>全書上、下共600頁    中國劉文典譯（上海亞東圖書館發行1927年）</w:t>
      </w:r>
      <w:r w:rsidRPr="00FB2B6E">
        <w:rPr>
          <w:rFonts w:ascii="新細明體" w:eastAsia="新細明體" w:hAnsi="新細明體" w:cs="新細明體" w:hint="eastAsia"/>
          <w:kern w:val="0"/>
          <w:szCs w:val="24"/>
        </w:rPr>
        <w:br/>
      </w:r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inline distT="0" distB="0" distL="0" distR="0">
            <wp:extent cx="5329422" cy="3152851"/>
            <wp:effectExtent l="0" t="0" r="5080" b="0"/>
            <wp:docPr id="2" name="圖片 2" descr="http://image.peoplenews.tw/collection/146261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.peoplenews.tw/collection/14626140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744" cy="315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6E">
        <w:rPr>
          <w:rFonts w:ascii="新細明體" w:eastAsia="新細明體" w:hAnsi="新細明體" w:cs="新細明體" w:hint="eastAsia"/>
          <w:kern w:val="0"/>
          <w:szCs w:val="24"/>
        </w:rPr>
        <w:br/>
      </w:r>
      <w:r w:rsidRPr="00FB2B6E">
        <w:rPr>
          <w:rFonts w:ascii="Arial" w:eastAsia="新細明體" w:hAnsi="Arial" w:cs="Arial"/>
          <w:b/>
          <w:bCs/>
          <w:color w:val="B22222"/>
          <w:kern w:val="0"/>
          <w:sz w:val="21"/>
          <w:szCs w:val="21"/>
        </w:rPr>
        <w:t>1927</w:t>
      </w:r>
      <w:r w:rsidRPr="00FB2B6E">
        <w:rPr>
          <w:rFonts w:ascii="Arial" w:eastAsia="新細明體" w:hAnsi="Arial" w:cs="Arial"/>
          <w:b/>
          <w:bCs/>
          <w:color w:val="B22222"/>
          <w:kern w:val="0"/>
          <w:sz w:val="21"/>
          <w:szCs w:val="21"/>
        </w:rPr>
        <w:t>上海亞東圖書館《進化論講話》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2.《馬克司主義經濟學》，第一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冊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〈價值論〉</w:t>
      </w:r>
      <w:r w:rsidRPr="00FB2B6E">
        <w:rPr>
          <w:rFonts w:ascii="新細明體" w:eastAsia="新細明體" w:hAnsi="新細明體" w:cs="新細明體" w:hint="eastAsia"/>
          <w:kern w:val="0"/>
          <w:szCs w:val="24"/>
        </w:rPr>
        <w:br/>
        <w:t>台灣孤本  楊貴譯（高雄工農文庫刊行會1931年7月）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3.《阿Ｑ正傳》 中日文對照</w:t>
      </w:r>
      <w:r w:rsidRPr="00FB2B6E">
        <w:rPr>
          <w:rFonts w:ascii="新細明體" w:eastAsia="新細明體" w:hAnsi="新細明體" w:cs="新細明體" w:hint="eastAsia"/>
          <w:kern w:val="0"/>
          <w:szCs w:val="24"/>
        </w:rPr>
        <w:br/>
        <w:t>日文楊逵譯（民國36年1月台北東華書局）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以上第1、2冊應是文協讀書會的讀本，應該是楊貴推薦或在台中中央書局買的。其中第1冊，進化論是馬克司唯物史觀的基礎，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丘淺是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魯迅的老師，此書是日本左派思想的暢銷書。第2冊出版於1931年7月，可見讀書會應該尚存。台灣知識工人在90年前閱讀如此深奧而又具有世界觀的書籍，實是無比的榮耀。《阿Ｑ正傳》，老父早年就看過，此書在戰後是買的，或是楊貴或別人送的，不可知。我中學時就從老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父喙內知道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魯迅、巴金、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茅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盾、郭沫若，大概是他讀書會得來的知識。我上大學時，同班同學都不知有這些作家。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b/>
          <w:bCs/>
          <w:color w:val="B22222"/>
          <w:kern w:val="0"/>
          <w:szCs w:val="24"/>
        </w:rPr>
        <w:t>七、鹿港（新）文協的人物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我介紹四位可能是新文協的人物：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1.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莊泉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（1892-1973），我的老父。幼小隨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祖父做土水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小工，九歲入名儒蔡德宣私塾，滿二年已讀到《詩經》、《周易》後停學自修兼做工，再上學讀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兩年群經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。本來隨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李家學刻花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，但收入少，改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做細木家具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，開小木器店，一生手不釋卷，不看報，日子不能過，曾訂閱上海大公報。老父影響我至深。（附1938年莊泉相片，第三排左二）)</w:t>
      </w:r>
      <w:r w:rsidRPr="00FB2B6E">
        <w:rPr>
          <w:rFonts w:ascii="新細明體" w:eastAsia="新細明體" w:hAnsi="新細明體" w:cs="新細明體" w:hint="eastAsia"/>
          <w:kern w:val="0"/>
          <w:szCs w:val="24"/>
        </w:rPr>
        <w:br/>
      </w:r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inline distT="0" distB="0" distL="0" distR="0">
            <wp:extent cx="5259629" cy="3776205"/>
            <wp:effectExtent l="0" t="0" r="0" b="0"/>
            <wp:docPr id="1" name="圖片 1" descr="http://image.peoplenews.tw/collection/146261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.peoplenews.tw/collection/14626141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18" cy="377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B6E">
        <w:rPr>
          <w:rFonts w:ascii="新細明體" w:eastAsia="新細明體" w:hAnsi="新細明體" w:cs="新細明體" w:hint="eastAsia"/>
          <w:kern w:val="0"/>
          <w:szCs w:val="24"/>
        </w:rPr>
        <w:br/>
      </w:r>
      <w:r w:rsidRPr="00FB2B6E">
        <w:rPr>
          <w:rFonts w:ascii="Arial" w:eastAsia="新細明體" w:hAnsi="Arial" w:cs="Arial"/>
          <w:b/>
          <w:bCs/>
          <w:color w:val="B22222"/>
          <w:kern w:val="0"/>
          <w:sz w:val="21"/>
          <w:szCs w:val="21"/>
        </w:rPr>
        <w:t>莊泉</w:t>
      </w:r>
      <w:r w:rsidRPr="00FB2B6E">
        <w:rPr>
          <w:rFonts w:ascii="Arial" w:eastAsia="新細明體" w:hAnsi="Arial" w:cs="Arial"/>
          <w:b/>
          <w:bCs/>
          <w:color w:val="B22222"/>
          <w:kern w:val="0"/>
          <w:sz w:val="21"/>
          <w:szCs w:val="21"/>
        </w:rPr>
        <w:t>(</w:t>
      </w:r>
      <w:r w:rsidRPr="00FB2B6E">
        <w:rPr>
          <w:rFonts w:ascii="Arial" w:eastAsia="新細明體" w:hAnsi="Arial" w:cs="Arial"/>
          <w:b/>
          <w:bCs/>
          <w:color w:val="B22222"/>
          <w:kern w:val="0"/>
          <w:sz w:val="21"/>
          <w:szCs w:val="21"/>
        </w:rPr>
        <w:t>第</w:t>
      </w:r>
      <w:r w:rsidRPr="00FB2B6E">
        <w:rPr>
          <w:rFonts w:ascii="Arial" w:eastAsia="新細明體" w:hAnsi="Arial" w:cs="Arial"/>
          <w:b/>
          <w:bCs/>
          <w:color w:val="B22222"/>
          <w:kern w:val="0"/>
          <w:sz w:val="21"/>
          <w:szCs w:val="21"/>
        </w:rPr>
        <w:t>3</w:t>
      </w:r>
      <w:r w:rsidRPr="00FB2B6E">
        <w:rPr>
          <w:rFonts w:ascii="Arial" w:eastAsia="新細明體" w:hAnsi="Arial" w:cs="Arial"/>
          <w:b/>
          <w:bCs/>
          <w:color w:val="B22222"/>
          <w:kern w:val="0"/>
          <w:sz w:val="21"/>
          <w:szCs w:val="21"/>
        </w:rPr>
        <w:t>排左</w:t>
      </w:r>
      <w:r w:rsidRPr="00FB2B6E">
        <w:rPr>
          <w:rFonts w:ascii="Arial" w:eastAsia="新細明體" w:hAnsi="Arial" w:cs="Arial"/>
          <w:b/>
          <w:bCs/>
          <w:color w:val="B22222"/>
          <w:kern w:val="0"/>
          <w:sz w:val="21"/>
          <w:szCs w:val="21"/>
        </w:rPr>
        <w:t>2)</w:t>
      </w:r>
      <w:r w:rsidRPr="00FB2B6E">
        <w:rPr>
          <w:rFonts w:ascii="Arial" w:eastAsia="新細明體" w:hAnsi="Arial" w:cs="Arial"/>
          <w:b/>
          <w:bCs/>
          <w:color w:val="B22222"/>
          <w:kern w:val="0"/>
          <w:sz w:val="21"/>
          <w:szCs w:val="21"/>
        </w:rPr>
        <w:t>，</w:t>
      </w:r>
      <w:r w:rsidRPr="00FB2B6E">
        <w:rPr>
          <w:rFonts w:ascii="Arial" w:eastAsia="新細明體" w:hAnsi="Arial" w:cs="Arial"/>
          <w:b/>
          <w:bCs/>
          <w:color w:val="B22222"/>
          <w:kern w:val="0"/>
          <w:sz w:val="21"/>
          <w:szCs w:val="21"/>
        </w:rPr>
        <w:t>1938</w:t>
      </w:r>
      <w:r w:rsidRPr="00FB2B6E">
        <w:rPr>
          <w:rFonts w:ascii="Arial" w:eastAsia="新細明體" w:hAnsi="Arial" w:cs="Arial"/>
          <w:b/>
          <w:bCs/>
          <w:color w:val="B22222"/>
          <w:kern w:val="0"/>
          <w:sz w:val="21"/>
          <w:szCs w:val="21"/>
        </w:rPr>
        <w:t>年攝於西鹿港國語講習所。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2.蔡葛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（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1894生?），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幼讀漢學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，精書法篆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隸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，初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亦學刻花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。隨日本法律行政手續的發展，仍開刻印店「蔡印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舖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」，成為鹿港文化的另一象徵。他熱心文協，任讀書會會長。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3.施學禮（1908-1985）長期為中央書局幹部，可能早就參入前期文協，熟識當時文化人物，是我大姊夫之兄。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4.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林尾龍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（1910-1992）台灣商工（開南）商科畢，銀行任職。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1930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年代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（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?）由謝雪紅介紹加入台共，戰後長期躲避逃亡，備極辛酸，自首後仍被感化關三年。其</w:t>
      </w:r>
      <w:proofErr w:type="gramStart"/>
      <w:r w:rsidRPr="00FB2B6E">
        <w:rPr>
          <w:rFonts w:ascii="新細明體" w:eastAsia="新細明體" w:hAnsi="新細明體" w:cs="新細明體" w:hint="eastAsia"/>
          <w:kern w:val="0"/>
          <w:szCs w:val="24"/>
        </w:rPr>
        <w:t>妻笑仔</w:t>
      </w:r>
      <w:proofErr w:type="gramEnd"/>
      <w:r w:rsidRPr="00FB2B6E">
        <w:rPr>
          <w:rFonts w:ascii="新細明體" w:eastAsia="新細明體" w:hAnsi="新細明體" w:cs="新細明體" w:hint="eastAsia"/>
          <w:kern w:val="0"/>
          <w:szCs w:val="24"/>
        </w:rPr>
        <w:t>，晚年仍熟識，批判民眾黨歌謠。（我有錄音帶）</w:t>
      </w:r>
    </w:p>
    <w:p w:rsidR="00FB2B6E" w:rsidRPr="00FB2B6E" w:rsidRDefault="00FB2B6E" w:rsidP="00FB2B6E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 w:rsidRPr="00FB2B6E">
        <w:rPr>
          <w:rFonts w:ascii="新細明體" w:eastAsia="新細明體" w:hAnsi="新細明體" w:cs="新細明體" w:hint="eastAsia"/>
          <w:kern w:val="0"/>
          <w:szCs w:val="24"/>
        </w:rPr>
        <w:t>尋找後期（新）文協在台灣民間的資料何其不易！只因為我有鹿港人的老父，我才能拼湊出雛形，來補歷史的空白，失誤難免，請方家補正。相片三張，都只是首次公開，彌足珍貴。鹿港是甚保守的異域，是文協沙漠，我另有一文〈鹿港文化性格與前期（舊）台灣文化協會〉。</w:t>
      </w:r>
    </w:p>
    <w:p w:rsidR="00756799" w:rsidRPr="00FB2B6E" w:rsidRDefault="00756799"/>
    <w:sectPr w:rsidR="00756799" w:rsidRPr="00FB2B6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B6E"/>
    <w:rsid w:val="002656DF"/>
    <w:rsid w:val="00756799"/>
    <w:rsid w:val="00FB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6DF"/>
    <w:pPr>
      <w:widowControl w:val="0"/>
    </w:pPr>
  </w:style>
  <w:style w:type="paragraph" w:styleId="1">
    <w:name w:val="heading 1"/>
    <w:basedOn w:val="a"/>
    <w:link w:val="10"/>
    <w:uiPriority w:val="9"/>
    <w:qFormat/>
    <w:rsid w:val="00FB2B6E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656DF"/>
    <w:rPr>
      <w:b/>
      <w:bCs/>
    </w:rPr>
  </w:style>
  <w:style w:type="character" w:customStyle="1" w:styleId="10">
    <w:name w:val="標題 1 字元"/>
    <w:basedOn w:val="a0"/>
    <w:link w:val="1"/>
    <w:uiPriority w:val="9"/>
    <w:rsid w:val="00FB2B6E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semiHidden/>
    <w:unhideWhenUsed/>
    <w:rsid w:val="00FB2B6E"/>
    <w:rPr>
      <w:color w:val="0000FF"/>
      <w:u w:val="single"/>
    </w:rPr>
  </w:style>
  <w:style w:type="character" w:customStyle="1" w:styleId="author">
    <w:name w:val="author"/>
    <w:basedOn w:val="a0"/>
    <w:rsid w:val="00FB2B6E"/>
  </w:style>
  <w:style w:type="character" w:customStyle="1" w:styleId="date">
    <w:name w:val="date"/>
    <w:basedOn w:val="a0"/>
    <w:rsid w:val="00FB2B6E"/>
  </w:style>
  <w:style w:type="paragraph" w:styleId="Web">
    <w:name w:val="Normal (Web)"/>
    <w:basedOn w:val="a"/>
    <w:uiPriority w:val="99"/>
    <w:semiHidden/>
    <w:unhideWhenUsed/>
    <w:rsid w:val="00FB2B6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B2B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B2B6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6DF"/>
    <w:pPr>
      <w:widowControl w:val="0"/>
    </w:pPr>
  </w:style>
  <w:style w:type="paragraph" w:styleId="1">
    <w:name w:val="heading 1"/>
    <w:basedOn w:val="a"/>
    <w:link w:val="10"/>
    <w:uiPriority w:val="9"/>
    <w:qFormat/>
    <w:rsid w:val="00FB2B6E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656DF"/>
    <w:rPr>
      <w:b/>
      <w:bCs/>
    </w:rPr>
  </w:style>
  <w:style w:type="character" w:customStyle="1" w:styleId="10">
    <w:name w:val="標題 1 字元"/>
    <w:basedOn w:val="a0"/>
    <w:link w:val="1"/>
    <w:uiPriority w:val="9"/>
    <w:rsid w:val="00FB2B6E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semiHidden/>
    <w:unhideWhenUsed/>
    <w:rsid w:val="00FB2B6E"/>
    <w:rPr>
      <w:color w:val="0000FF"/>
      <w:u w:val="single"/>
    </w:rPr>
  </w:style>
  <w:style w:type="character" w:customStyle="1" w:styleId="author">
    <w:name w:val="author"/>
    <w:basedOn w:val="a0"/>
    <w:rsid w:val="00FB2B6E"/>
  </w:style>
  <w:style w:type="character" w:customStyle="1" w:styleId="date">
    <w:name w:val="date"/>
    <w:basedOn w:val="a0"/>
    <w:rsid w:val="00FB2B6E"/>
  </w:style>
  <w:style w:type="paragraph" w:styleId="Web">
    <w:name w:val="Normal (Web)"/>
    <w:basedOn w:val="a"/>
    <w:uiPriority w:val="99"/>
    <w:semiHidden/>
    <w:unhideWhenUsed/>
    <w:rsid w:val="00FB2B6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B2B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B2B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6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1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18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23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8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422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3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6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0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19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621</Words>
  <Characters>3540</Characters>
  <Application>Microsoft Office Word</Application>
  <DocSecurity>0</DocSecurity>
  <Lines>29</Lines>
  <Paragraphs>8</Paragraphs>
  <ScaleCrop>false</ScaleCrop>
  <Company/>
  <LinksUpToDate>false</LinksUpToDate>
  <CharactersWithSpaces>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2016-06-06T00:52:00Z</dcterms:created>
  <dcterms:modified xsi:type="dcterms:W3CDTF">2016-06-06T00:57:00Z</dcterms:modified>
</cp:coreProperties>
</file>